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SENIOR SPECIAL EVENTS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Senior Special Events Manager oversees the planning, coordination, and execution of all special events at [Organization Name]. This role focuses on creating impactful, high-quality events that engage donors, sponsors, and the community, and align with the organization's mission and goals.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has a strategic mindset and excels at building relationships with stakeholders, managing event logistics, and driving fundraising success.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 the planning, implementation, and evaluation of special events, including fundraising galas, awareness campaigns, and community outreach activities.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event timelines, budgets, and logistics plans to ensure seamless execution.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Secure and manage event sponsorships, in-kind donations, and partnerships.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the marketing team to design promotional materials and outreach strategies.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vendor selection, contracts, and event setup/breakdown processes.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with internal teams and volunteers to manage event-day operations.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relationships with key stakeholders, including donors, sponsors, and community partners.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Track and report event performance metrics, including attendance, fundraising goals, and participant feedback.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all relevant laws, regulations, and organizational policies.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related duties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event management, marketing, or a related field.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special events management, preferably in the non-profit sector.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track record of organizing successful events that meet or exceed fundraising goals.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event management software and tools (e.g., Eventbrite, Cvent).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budget management and organizational skills.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verbal and written communication skills.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under pressure and manage multiple projects simultaneously.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attention to detail and problem-solving skills.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interpersonal and relationship-building abilities.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Creative and innovative thinker.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Results-driven and resourceful.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Comfortable managing diverse teams, including volunteers.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High-level professionalism and diplomacy.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{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 and days, e.g., 8:00 A.M. to 5:00 P.M. Mondays through Fridays}.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Office-based role with frequent travel to event sites.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working evenings, weekends, and extended hours during event preparations and execution.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Fast-paced environment with high-stress periods.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Extended periods of sitting may be required.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Extensive periods using computers, digital devices, and telephones.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Some physical activity may be required, including lifting and event setup tasks.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